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4A0"/>
      </w:tblPr>
      <w:tblGrid>
        <w:gridCol w:w="2728"/>
        <w:gridCol w:w="3662"/>
        <w:gridCol w:w="2683"/>
      </w:tblGrid>
      <w:tr w:rsidR="0082766D" w:rsidTr="0082766D">
        <w:tc>
          <w:tcPr>
            <w:tcW w:w="2728" w:type="dxa"/>
          </w:tcPr>
          <w:p w:rsidR="0082766D" w:rsidRDefault="0082766D" w:rsidP="00167B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2766D" w:rsidRDefault="0082766D" w:rsidP="00167B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2766D" w:rsidRDefault="0082766D" w:rsidP="00167B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«Уег»</w:t>
            </w:r>
          </w:p>
          <w:p w:rsidR="0082766D" w:rsidRDefault="0082766D" w:rsidP="00167B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66D" w:rsidRDefault="0082766D" w:rsidP="00167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2766D" w:rsidRDefault="0082766D" w:rsidP="0016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66D" w:rsidRDefault="0082766D" w:rsidP="00167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66D" w:rsidRDefault="0082766D" w:rsidP="00167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2766D" w:rsidRDefault="0082766D" w:rsidP="00167B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«Уег»</w:t>
            </w:r>
          </w:p>
          <w:p w:rsidR="0082766D" w:rsidRDefault="0082766D" w:rsidP="00167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</w:p>
          <w:p w:rsidR="0082766D" w:rsidRDefault="0082766D" w:rsidP="00167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2766D" w:rsidRDefault="0082766D" w:rsidP="00167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6D" w:rsidTr="0082766D">
        <w:tc>
          <w:tcPr>
            <w:tcW w:w="2728" w:type="dxa"/>
          </w:tcPr>
          <w:p w:rsid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hideMark/>
          </w:tcPr>
          <w:p w:rsidR="0082766D" w:rsidRPr="0082766D" w:rsidRDefault="0082766D" w:rsidP="0082766D">
            <w:pPr>
              <w:pStyle w:val="1"/>
              <w:rPr>
                <w:rFonts w:eastAsiaTheme="minorEastAsia"/>
                <w:b/>
                <w:spacing w:val="60"/>
                <w:sz w:val="28"/>
                <w:szCs w:val="28"/>
                <w:lang w:val="ru-RU" w:eastAsia="ru-RU"/>
              </w:rPr>
            </w:pPr>
            <w:r w:rsidRPr="0082766D">
              <w:rPr>
                <w:rFonts w:eastAsiaTheme="minorEastAsia"/>
                <w:b/>
                <w:spacing w:val="60"/>
                <w:sz w:val="28"/>
                <w:szCs w:val="28"/>
                <w:lang w:val="ru-RU" w:eastAsia="ru-RU"/>
              </w:rPr>
              <w:t>ПОСТАНОВЛЕНИЕ</w:t>
            </w:r>
          </w:p>
        </w:tc>
        <w:tc>
          <w:tcPr>
            <w:tcW w:w="2683" w:type="dxa"/>
          </w:tcPr>
          <w:p w:rsid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6D" w:rsidTr="0082766D">
        <w:tc>
          <w:tcPr>
            <w:tcW w:w="2728" w:type="dxa"/>
          </w:tcPr>
          <w:p w:rsid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2766D" w:rsidRP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66D" w:rsidTr="0082766D">
        <w:tc>
          <w:tcPr>
            <w:tcW w:w="2728" w:type="dxa"/>
          </w:tcPr>
          <w:p w:rsid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hideMark/>
          </w:tcPr>
          <w:p w:rsidR="0082766D" w:rsidRPr="0082766D" w:rsidRDefault="0082766D" w:rsidP="00827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66D">
              <w:rPr>
                <w:rFonts w:ascii="Times New Roman" w:hAnsi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82766D" w:rsidRDefault="0082766D" w:rsidP="008276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66D" w:rsidRPr="0082766D" w:rsidRDefault="0082766D" w:rsidP="008276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Look w:val="04A0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82766D" w:rsidRPr="0082766D" w:rsidTr="0082766D">
        <w:tc>
          <w:tcPr>
            <w:tcW w:w="533" w:type="dxa"/>
            <w:hideMark/>
          </w:tcPr>
          <w:p w:rsidR="0082766D" w:rsidRPr="0082766D" w:rsidRDefault="0082766D" w:rsidP="00827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  <w:hideMark/>
          </w:tcPr>
          <w:p w:rsidR="0082766D" w:rsidRPr="0082766D" w:rsidRDefault="0082766D" w:rsidP="00827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5" w:type="dxa"/>
            <w:hideMark/>
          </w:tcPr>
          <w:p w:rsidR="0082766D" w:rsidRP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76" w:type="dxa"/>
            <w:hideMark/>
          </w:tcPr>
          <w:p w:rsidR="0082766D" w:rsidRP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84" w:type="dxa"/>
            <w:hideMark/>
          </w:tcPr>
          <w:p w:rsidR="0082766D" w:rsidRPr="0082766D" w:rsidRDefault="0082766D" w:rsidP="00827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950" w:type="dxa"/>
            <w:hideMark/>
          </w:tcPr>
          <w:p w:rsidR="0082766D" w:rsidRPr="0082766D" w:rsidRDefault="0082766D" w:rsidP="00827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</w:p>
        </w:tc>
        <w:tc>
          <w:tcPr>
            <w:tcW w:w="1134" w:type="dxa"/>
            <w:hideMark/>
          </w:tcPr>
          <w:p w:rsidR="0082766D" w:rsidRPr="0082766D" w:rsidRDefault="0082766D" w:rsidP="0082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66D">
              <w:rPr>
                <w:rFonts w:ascii="Times New Roman" w:hAnsi="Times New Roman"/>
                <w:sz w:val="28"/>
                <w:szCs w:val="28"/>
              </w:rPr>
              <w:t>03/04</w:t>
            </w:r>
          </w:p>
        </w:tc>
      </w:tr>
    </w:tbl>
    <w:p w:rsidR="0082766D" w:rsidRDefault="0082766D" w:rsidP="0082766D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с. Уег 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82766D" w:rsidTr="008276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66D" w:rsidRPr="0082766D" w:rsidRDefault="0082766D" w:rsidP="00827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6D">
              <w:rPr>
                <w:rFonts w:ascii="Times New Roman" w:hAnsi="Times New Roman"/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сельского поселения «Уег» на 2022 год и на плановый период 2023 и 2024 годов</w:t>
            </w:r>
          </w:p>
        </w:tc>
      </w:tr>
    </w:tbl>
    <w:p w:rsidR="0082766D" w:rsidRDefault="0082766D" w:rsidP="0082766D">
      <w:pPr>
        <w:spacing w:after="0" w:line="240" w:lineRule="auto"/>
        <w:jc w:val="both"/>
      </w:pPr>
      <w:r>
        <w:t xml:space="preserve">          </w:t>
      </w:r>
    </w:p>
    <w:p w:rsidR="0082766D" w:rsidRPr="0082766D" w:rsidRDefault="0082766D" w:rsidP="0082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82766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160.1.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5" w:history="1">
        <w:r w:rsidRPr="008276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     16 сентября </w:t>
      </w:r>
      <w:smartTag w:uri="urn:schemas-microsoft-com:office:smarttags" w:element="metricconverter">
        <w:smartTagPr>
          <w:attr w:name="ProductID" w:val="2021 г"/>
        </w:smartTagPr>
        <w:r w:rsidRPr="0082766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2766D">
        <w:rPr>
          <w:rFonts w:ascii="Times New Roman" w:hAnsi="Times New Roman" w:cs="Times New Roman"/>
          <w:sz w:val="28"/>
          <w:szCs w:val="28"/>
        </w:rPr>
        <w:t>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фонда обязательного медицинского страхования, местного бюджета»</w:t>
      </w:r>
    </w:p>
    <w:p w:rsidR="0082766D" w:rsidRPr="0082766D" w:rsidRDefault="0082766D" w:rsidP="0082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6D" w:rsidRPr="0082766D" w:rsidRDefault="0082766D" w:rsidP="0082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трация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82766D" w:rsidRPr="0082766D" w:rsidRDefault="0082766D" w:rsidP="0082766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66D" w:rsidRPr="0082766D" w:rsidRDefault="0082766D" w:rsidP="00827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1. Утвердить порядок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на 2022 год и на плановый период 2023 и 2024 годов согласно приложению.</w:t>
      </w:r>
    </w:p>
    <w:p w:rsidR="0082766D" w:rsidRPr="0082766D" w:rsidRDefault="0082766D" w:rsidP="0082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главного эксперта </w:t>
      </w:r>
      <w:r w:rsidRPr="008276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Козлову И.М</w:t>
      </w:r>
      <w:r w:rsidRPr="0082766D">
        <w:rPr>
          <w:rFonts w:ascii="Times New Roman" w:hAnsi="Times New Roman" w:cs="Times New Roman"/>
          <w:sz w:val="28"/>
          <w:szCs w:val="28"/>
        </w:rPr>
        <w:t>.</w:t>
      </w:r>
    </w:p>
    <w:p w:rsidR="0082766D" w:rsidRPr="0082766D" w:rsidRDefault="0082766D" w:rsidP="0082766D">
      <w:pPr>
        <w:pStyle w:val="ConsPlusNormal"/>
        <w:ind w:firstLine="708"/>
        <w:jc w:val="both"/>
      </w:pPr>
      <w:r w:rsidRPr="0082766D">
        <w:t>3. Постановление вступает в силу со дня принятия и распространяется на правоотношения, возникшие с 01 января 2022 года.</w:t>
      </w:r>
    </w:p>
    <w:p w:rsidR="0082766D" w:rsidRPr="0082766D" w:rsidRDefault="0082766D" w:rsidP="0082766D">
      <w:pPr>
        <w:pStyle w:val="ConsPlusNormal"/>
        <w:jc w:val="both"/>
      </w:pPr>
    </w:p>
    <w:tbl>
      <w:tblPr>
        <w:tblW w:w="9408" w:type="dxa"/>
        <w:tblLook w:val="01E0"/>
      </w:tblPr>
      <w:tblGrid>
        <w:gridCol w:w="7128"/>
        <w:gridCol w:w="2280"/>
      </w:tblGrid>
      <w:tr w:rsidR="0082766D" w:rsidRPr="0082766D" w:rsidTr="005264D0">
        <w:tc>
          <w:tcPr>
            <w:tcW w:w="7128" w:type="dxa"/>
          </w:tcPr>
          <w:p w:rsidR="0082766D" w:rsidRPr="0082766D" w:rsidRDefault="0082766D" w:rsidP="0082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«Уег</w:t>
            </w:r>
            <w:r w:rsidRPr="00827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2766D" w:rsidRPr="0082766D" w:rsidRDefault="0082766D" w:rsidP="0082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М.П.Чупрова</w:t>
            </w:r>
          </w:p>
          <w:p w:rsidR="0082766D" w:rsidRPr="0082766D" w:rsidRDefault="0082766D" w:rsidP="0082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76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766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82766D"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2 г"/>
        </w:smartTagPr>
        <w:r w:rsidRPr="0082766D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2766D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03/04</w:t>
      </w: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766D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66D" w:rsidRPr="0082766D" w:rsidRDefault="0082766D" w:rsidP="0082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ПОРЯДОК</w:t>
      </w:r>
    </w:p>
    <w:p w:rsidR="0082766D" w:rsidRPr="0082766D" w:rsidRDefault="0082766D" w:rsidP="0082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внесения изменений в перечень главных администраторов доходов бюджета сельского поселени</w:t>
      </w:r>
      <w:r>
        <w:rPr>
          <w:rFonts w:ascii="Times New Roman" w:hAnsi="Times New Roman" w:cs="Times New Roman"/>
          <w:sz w:val="28"/>
          <w:szCs w:val="28"/>
        </w:rPr>
        <w:t>я «Уег</w:t>
      </w:r>
      <w:r w:rsidRPr="0082766D">
        <w:rPr>
          <w:rFonts w:ascii="Times New Roman" w:hAnsi="Times New Roman" w:cs="Times New Roman"/>
          <w:sz w:val="28"/>
          <w:szCs w:val="28"/>
        </w:rPr>
        <w:t>» на 2022 год и на плановый период 2023 и 2024 годов</w:t>
      </w:r>
    </w:p>
    <w:p w:rsidR="0082766D" w:rsidRPr="0082766D" w:rsidRDefault="0082766D" w:rsidP="0082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(далее - Перечень).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82766D">
        <w:rPr>
          <w:rFonts w:ascii="Times New Roman" w:hAnsi="Times New Roman" w:cs="Times New Roman"/>
          <w:sz w:val="28"/>
          <w:szCs w:val="28"/>
        </w:rPr>
        <w:t>2. Изменения в Перечень вносятся в следующих случаях: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1) изменение состава и (или) функций (полномочий)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»;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2) изменение принципов назначения и присвоения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Федерации, устанавливающим коды видов доходов бюджетов и соответствующие им коды аналитической группы подвидов доходов бюджетов;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3) поступление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налоговых и неналоговых, безвозмездных поступлений от других бюджетов бюджетной системы Российской Федерации или от физических (юридических) лиц по кодам классификации доходов бюджетов Российской Федерации, не закрепленным за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3. Внесение изменений в Перечень в течение текущего финансового года осуществляется путем закрепления за главным администратором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кодов вида (подвида) доходов бюджетов на основании постановлений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без внесения изменений в Перечень,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82766D">
        <w:rPr>
          <w:rFonts w:ascii="Times New Roman" w:hAnsi="Times New Roman" w:cs="Times New Roman"/>
          <w:sz w:val="28"/>
          <w:szCs w:val="28"/>
        </w:rPr>
        <w:t>4. 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(далее - инициаторы) в целях внесения изменений в Перечень в течение тридцати рабочих дней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основания для внесения изменений в Перечень представляют в отдел финансов и бухгалтерского учёта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соответствующее предложение с указанием следующей информации: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1) основание для внесения изменения в Перечень;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2) наименование и код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»;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3) код вида (подвида) доходов бюджетов;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4) наименование кода вида (подвида) доходов бюджетов.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lastRenderedPageBreak/>
        <w:t xml:space="preserve">5. Отдел финансов и бухгалтерского учёта администрации </w:t>
      </w:r>
      <w:r w:rsidR="00167B95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в течение пяти рабочих дней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предложения рассматривает поступившее предложение инициатора на соответствие положениям, установленным в </w:t>
      </w:r>
      <w:hyperlink w:anchor="Par6" w:history="1">
        <w:r w:rsidRPr="0082766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82766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Основанием для отказа во внесении изменений в Перечень является несоответствие поступившего предложения положениям, установленным в </w:t>
      </w:r>
      <w:hyperlink w:anchor="Par6" w:history="1">
        <w:r w:rsidRPr="0082766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82766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В случае соответствия поступившего обращения положениям, установленным в </w:t>
      </w:r>
      <w:hyperlink w:anchor="Par6" w:history="1">
        <w:r w:rsidRPr="0082766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82766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настоящего Порядка, отдел финансов и бухгалтерского учёта администрации </w:t>
      </w:r>
      <w:r w:rsidR="00167B95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в течение десяти рабочих дней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предложения вносит изменения в Перечень.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66D">
        <w:rPr>
          <w:rFonts w:ascii="Times New Roman" w:hAnsi="Times New Roman" w:cs="Times New Roman"/>
          <w:sz w:val="28"/>
          <w:szCs w:val="28"/>
        </w:rPr>
        <w:t xml:space="preserve">В случае несоответствия поступившего предложения положениям, установленным в </w:t>
      </w:r>
      <w:hyperlink w:anchor="Par6" w:history="1">
        <w:r w:rsidRPr="0082766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82766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2766D">
        <w:rPr>
          <w:rFonts w:ascii="Times New Roman" w:hAnsi="Times New Roman" w:cs="Times New Roman"/>
          <w:sz w:val="28"/>
          <w:szCs w:val="28"/>
        </w:rPr>
        <w:t xml:space="preserve"> настоящего Порядка, отдел финансов и бухгалтерского учета администрации </w:t>
      </w:r>
      <w:r w:rsidR="00167B95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 в течение пяти рабочих дней с даты поступления предложения уведомляет инициатора об отказе во внесении изменений в Перечень с указанием основания для отказа во внесении изменений в Перечень.</w:t>
      </w:r>
      <w:proofErr w:type="gramEnd"/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>6. В случае если инициатором внесения изменений в Перечень является отдел финансов и бухгалтерского учёта администрации сельского поселения «</w:t>
      </w:r>
      <w:r w:rsidR="00167B95">
        <w:rPr>
          <w:rFonts w:ascii="Times New Roman" w:hAnsi="Times New Roman" w:cs="Times New Roman"/>
          <w:sz w:val="28"/>
          <w:szCs w:val="28"/>
        </w:rPr>
        <w:t>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», изменения в Перечень вносятся отделом финансов и бухгалтерского учёта администрации </w:t>
      </w:r>
      <w:r w:rsidR="00167B95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в течение тридцати рабочих дней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основания для внесения изменений в Перечень.</w:t>
      </w:r>
    </w:p>
    <w:p w:rsidR="0082766D" w:rsidRPr="0082766D" w:rsidRDefault="0082766D" w:rsidP="008276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66D">
        <w:rPr>
          <w:rFonts w:ascii="Times New Roman" w:hAnsi="Times New Roman" w:cs="Times New Roman"/>
          <w:sz w:val="28"/>
          <w:szCs w:val="28"/>
        </w:rPr>
        <w:t xml:space="preserve">7. Актуализация Перечня, утвержденного настоящим постановлением, осуществляется один раз в год путем изложения Перечня в редакции, </w:t>
      </w:r>
      <w:proofErr w:type="gramStart"/>
      <w:r w:rsidRPr="0082766D">
        <w:rPr>
          <w:rFonts w:ascii="Times New Roman" w:hAnsi="Times New Roman" w:cs="Times New Roman"/>
          <w:sz w:val="28"/>
          <w:szCs w:val="28"/>
        </w:rPr>
        <w:t>учитывающей</w:t>
      </w:r>
      <w:proofErr w:type="gramEnd"/>
      <w:r w:rsidRPr="0082766D">
        <w:rPr>
          <w:rFonts w:ascii="Times New Roman" w:hAnsi="Times New Roman" w:cs="Times New Roman"/>
          <w:sz w:val="28"/>
          <w:szCs w:val="28"/>
        </w:rPr>
        <w:t xml:space="preserve"> в том числе изменения, вносимые отделом финансов и бухгалтерского учёта администрации сельского поселения «</w:t>
      </w:r>
      <w:r w:rsidR="00167B95">
        <w:rPr>
          <w:rFonts w:ascii="Times New Roman" w:hAnsi="Times New Roman" w:cs="Times New Roman"/>
          <w:sz w:val="28"/>
          <w:szCs w:val="28"/>
        </w:rPr>
        <w:t>Уег</w:t>
      </w:r>
      <w:r w:rsidRPr="0082766D">
        <w:rPr>
          <w:rFonts w:ascii="Times New Roman" w:hAnsi="Times New Roman" w:cs="Times New Roman"/>
          <w:sz w:val="28"/>
          <w:szCs w:val="28"/>
        </w:rPr>
        <w:t xml:space="preserve">» в течение года, и оформляется постановлением администрации </w:t>
      </w:r>
      <w:r w:rsidR="00167B95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2766D">
        <w:rPr>
          <w:rFonts w:ascii="Times New Roman" w:hAnsi="Times New Roman" w:cs="Times New Roman"/>
          <w:sz w:val="28"/>
          <w:szCs w:val="28"/>
        </w:rPr>
        <w:t>», принятым в срок не позднее 31 декабря текущего финансового года.</w:t>
      </w:r>
    </w:p>
    <w:p w:rsidR="0082766D" w:rsidRPr="0082766D" w:rsidRDefault="0082766D" w:rsidP="00827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6D" w:rsidRPr="0082766D" w:rsidRDefault="0082766D" w:rsidP="00827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6D" w:rsidRPr="0082766D" w:rsidRDefault="0082766D" w:rsidP="0082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66D" w:rsidRPr="0082766D" w:rsidRDefault="0082766D" w:rsidP="0082766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66D" w:rsidRPr="0082766D" w:rsidRDefault="0082766D" w:rsidP="00827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66D" w:rsidRPr="008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66D"/>
    <w:rsid w:val="00167B95"/>
    <w:rsid w:val="0082766D"/>
    <w:rsid w:val="009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66D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66D"/>
    <w:rPr>
      <w:rFonts w:ascii="Times New Roman" w:eastAsia="Times New Roman" w:hAnsi="Times New Roman" w:cs="Times New Roman"/>
      <w:sz w:val="36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82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27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82766D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AF50F3A6A9CAB4762D2597CC0B925385AADDC64CABBD848A06F23B85094E23DD4C3F6E70F2BC3880784194032328D96885B82DD5091388CE2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2022-04-01T14:50:00Z</cp:lastPrinted>
  <dcterms:created xsi:type="dcterms:W3CDTF">2022-04-01T14:36:00Z</dcterms:created>
  <dcterms:modified xsi:type="dcterms:W3CDTF">2022-04-01T15:28:00Z</dcterms:modified>
</cp:coreProperties>
</file>